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d23ef1444b14f1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8385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KLOŠTAR PODRAVSKI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2.058.055,18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2.294.981,86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2.003.496,56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2.457.259,66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162.277,80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40.896,24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40.896,24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27.663,31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189.941,11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1.siječnja do 31.prosinca 2025.godine prihodi poslovanja ostvareni su u iznosu od 2.294.981,86 EUR. Najznačajnije povećanje prihoda ostvareno je od prihoda od pruženih usluga iz razloga što se od 1.siječnja 2025.godine iznajmljuje školsko sportska dvorana. Najznačajnije smanjenje prihoda poslovanja bilježi se na prihodima iz nadležnog proračuna za financiranje rashoda za nabavu nefinancijske imovine. Rashodi poslovanja u razdoblju od 1.siječnja do 31.prosinca 2025.godine ostvareni su u iznosu od 2.457.259,66 EUR. Najznačajnije povećanje rashoda evidentirano je na financijskim rashodima , na uslugama tekućeg i investicijskog održavanja (uslijed povećanih potreba za ovim uslugama) te ostalim nespomenutim rashodima poslovanja (uslijed nabave psihodijagnostičkih sredstava u iznosu od 3.348,78 EUR). Najznačajnije smanjenje rashoda poslovanja bilježi se na rashodima za službena putovanja uslijed ostvarenog manjeg broja službenih putovanja u odnosu na prethodnu godinu. U navedenome razdoblju nema ostvarenih prihoda od prodaje nefinancijske imovine, dok su rashodi za nabavu nefinancijske imovine ostvareni u iznosu od 27.663,31 EUR,  a odnose se na kupnju računala i računalne opreme, uredskog namještaja, knjiga te na dodatna ulaganja na građevinskim objektima. U navedenome razdoblju nije bilo ostvarenih primitaka i izdataka od financijske imovine i zaduživanja. U razdoblju od 1.siječnja do 31.prosinca 2025. godine ostvaren je manjak prihoda poslovanja u iznosu od 162.277,80 EUR, manjak prihoda od nefinancijske imovine u iznosu od 27.663,31 EUR, slijedom čega je na kraju izvještajnog razdoblja ostvaren ukupan manjak prihoda i primitaka u iznosu od 189.941,11 EUR.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61.568,96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89.350,23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w:t>
            </w:r>
          </w:p>
        </w:tc>
      </w:tr>
    </w:tbl>
    <w:p>
      <w:pPr>
        <w:spacing w:before="0" w:after="0"/>
      </w:pPr>
    </w:p>
    <w:p>
      <w:r>
        <w:t xml:space="preserve">Tekući prijenosi između proračunskih korisnika istog proračuna temeljem prijenosa EU sredstava bilježe povećanje od 45,1% u odnosu na prethodno razdoblje zbog porasta plaća i materijalnih prava pomoćnika u nastavi.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181,6</w:t>
            </w:r>
          </w:p>
        </w:tc>
      </w:tr>
    </w:tbl>
    <w:p>
      <w:pPr>
        <w:spacing w:before="0" w:after="0"/>
      </w:pPr>
    </w:p>
    <w:p>
      <w:r>
        <w:t xml:space="preserve">Ostali nespomenuti prihodi bilježe porast za 81,6 % u odnosu na prethodno razdoblje, radi ostvarenih većih prihoda za terensku nastavu učenika, prihoda za osiguranje učenika i sl.</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216,8</w:t>
            </w:r>
          </w:p>
        </w:tc>
      </w:tr>
    </w:tbl>
    <w:p>
      <w:pPr>
        <w:spacing w:before="0" w:after="0"/>
      </w:pPr>
    </w:p>
    <w:p>
      <w:r>
        <w:t xml:space="preserve">Prihodi od prodaje proizvoda i robe bilježe povećanje od 116,8% u odnosu na prethodno razdoblje prošle godine zbog ostvarenih većih prihoda od prodaje proizvoda Školske zadruge i od prodaje starog papira.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532,0</w:t>
            </w:r>
          </w:p>
        </w:tc>
      </w:tr>
    </w:tbl>
    <w:p>
      <w:pPr>
        <w:spacing w:before="0" w:after="0"/>
      </w:pPr>
    </w:p>
    <w:p>
      <w:r>
        <w:t xml:space="preserve">Prihodi od pruženih usluga biljeće povećanje od 432% u odnosu na prethodno razdoblje prošle godine zbog davanja u najam školsko sportske dvorane od 1.siječnja 2025.godine, a kojih prihoda nije bilo prethodne godine jer se dvorana nije iznajmljivala.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124.888,73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166.028,75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w:t>
            </w:r>
          </w:p>
        </w:tc>
      </w:tr>
    </w:tbl>
    <w:p>
      <w:pPr>
        <w:spacing w:before="0" w:after="0"/>
      </w:pPr>
    </w:p>
    <w:p>
      <w:r>
        <w:t xml:space="preserve">Prihodi iz nadležnog proračuna za financiranje rashoda poslovanja bilježe povećanje u iznosu od 32,9% u odnosu na isto razdoblje prethodne godine radi povećanja cijena mjesečnih režija i troškova te povećanih potreba za tekućim i investicijskim održavanjem.</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1.372.754,14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1.696.716,23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w:t>
            </w:r>
          </w:p>
        </w:tc>
      </w:tr>
    </w:tbl>
    <w:p>
      <w:pPr>
        <w:spacing w:before="0" w:after="0"/>
      </w:pPr>
    </w:p>
    <w:p>
      <w:r>
        <w:t xml:space="preserve">Rashodi za plaće za redovan rad bilježe povećanje u iznosu od 23,6% zbog porasta osnovice za obračun plaće.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30.842,18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41.884,80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w:t>
            </w:r>
          </w:p>
        </w:tc>
      </w:tr>
    </w:tbl>
    <w:p>
      <w:pPr>
        <w:spacing w:before="0" w:after="0"/>
      </w:pPr>
    </w:p>
    <w:p>
      <w:r>
        <w:t xml:space="preserve">Rashodi za plaće za posebne uvjete rada bilježe povećanje od 35,8% u odnosu na izvještajno razdoblje prethodne godine zbog porasta osnovice za obračun plaće i dodataka na plaću.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62.815,72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78.941,27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w:t>
            </w:r>
          </w:p>
        </w:tc>
      </w:tr>
    </w:tbl>
    <w:p>
      <w:pPr>
        <w:spacing w:before="0" w:after="0"/>
      </w:pPr>
    </w:p>
    <w:p>
      <w:r>
        <w:t xml:space="preserve">Ostali rashodi za zaposlene bilježe porast za 25,7% u odnosu na isto razdoblje prethodne godine radi povećanja osnovice za izračun plaće i isplate materijalnih prava za djelatnike, a kojih nije bilo prethodne godine (primjerice, otpremnina).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228.947,23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278.106,47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w:t>
            </w:r>
          </w:p>
        </w:tc>
      </w:tr>
    </w:tbl>
    <w:p>
      <w:pPr>
        <w:spacing w:before="0" w:after="0"/>
      </w:pPr>
    </w:p>
    <w:p>
      <w:r>
        <w:t xml:space="preserve">Rashodi za doprinose za zdravstveno osiguranje bilježe povećanje u iznosu od 21,5% zbog porasta osnovice za obračun plaće.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188,9</w:t>
            </w:r>
          </w:p>
        </w:tc>
      </w:tr>
    </w:tbl>
    <w:p>
      <w:pPr>
        <w:spacing w:before="0" w:after="0"/>
      </w:pPr>
    </w:p>
    <w:p>
      <w:r>
        <w:t xml:space="preserve">Rashodi za stručno usavršavanje zaposlenika bilježe povećanje u iznosu 88,9% u odnosu na prethodnu godinu zbog povećanih potreba za stručnim usavršavanjem zaposlenika (potreba domara za polaganjem ispita za rukovatelja centralnim grijanjem te HACCP tečaj za zaposlenike).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40.989,29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57.716,46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w:t>
            </w:r>
          </w:p>
        </w:tc>
      </w:tr>
    </w:tbl>
    <w:p>
      <w:pPr>
        <w:spacing w:before="0" w:after="0"/>
      </w:pPr>
    </w:p>
    <w:p>
      <w:r>
        <w:t xml:space="preserve">Rasshodi za materijal i sirovine bilježe povećanje od 40,8% u odnosu na izvještajno razdoblje prethodne godine radi porasta cijena namirnica za školsku kuhinju te cijene energenata.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154,6</w:t>
            </w:r>
          </w:p>
        </w:tc>
      </w:tr>
    </w:tbl>
    <w:p>
      <w:pPr>
        <w:spacing w:before="0" w:after="0"/>
      </w:pPr>
    </w:p>
    <w:p>
      <w:r>
        <w:t xml:space="preserve">Rashodi za materijal i dijelove za tekuće i investicijsko održavanje bilježe porast za 54,6% zbog povećanih potreba za kupnom ovog materijala.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190,4</w:t>
            </w:r>
          </w:p>
        </w:tc>
      </w:tr>
    </w:tbl>
    <w:p>
      <w:pPr>
        <w:spacing w:before="0" w:after="0"/>
      </w:pPr>
    </w:p>
    <w:p>
      <w:r>
        <w:t xml:space="preserve">Rashodi za sitni inventar i auto gume bilježe povećanje u iznosu od 90,4% u odnosu na prethodnu godinu zbog većih potreba za kupnjom sitnog inventara.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176,6</w:t>
            </w:r>
          </w:p>
        </w:tc>
      </w:tr>
    </w:tbl>
    <w:p>
      <w:pPr>
        <w:spacing w:before="0" w:after="0"/>
      </w:pPr>
    </w:p>
    <w:p>
      <w:r>
        <w:t xml:space="preserve">Rashodi za službenu, radnu i zaštitnu odjeću i obuću bilježe povećanje u iznosu od 76,6% radi kupnje službene odjeće za kuharice, spremačice i domare (zaposlena nova kuharica i spremačica).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13.846,40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189,2</w:t>
            </w:r>
          </w:p>
        </w:tc>
      </w:tr>
    </w:tbl>
    <w:p>
      <w:pPr>
        <w:spacing w:before="0" w:after="0"/>
      </w:pPr>
    </w:p>
    <w:p>
      <w:r>
        <w:t xml:space="preserve">Rashodi za usluge tekućeg i investicijskog održavanja bilježe povećanje u iznosu od 89,2,% u odnosu na prethodnu godinu zbog većih potreba za ovim uslugama (kupnja i ugradnja novih vrata u PŠ Podravske Sesvete zbog sigurnosnih mjera u iznosu od 1.937,50 EUR) te obnova sanitarnog čvora u PŠ Prugovac.</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131,7</w:t>
            </w:r>
          </w:p>
        </w:tc>
      </w:tr>
    </w:tbl>
    <w:p>
      <w:pPr>
        <w:spacing w:before="0" w:after="0"/>
      </w:pPr>
    </w:p>
    <w:p>
      <w:r>
        <w:t xml:space="preserve">Rashodi za komunalne usluge bilježe povećanje u iznosu od 31,7% u odnosu na prethodnu godinu zbog rasta cijena početkom 2025.godine.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177,3</w:t>
            </w:r>
          </w:p>
        </w:tc>
      </w:tr>
    </w:tbl>
    <w:p>
      <w:pPr>
        <w:spacing w:before="0" w:after="0"/>
      </w:pPr>
    </w:p>
    <w:p>
      <w:r>
        <w:t xml:space="preserve">Rashodi za ostale usluge bilježe povećanje u iznosu od 77,3% u odnosu na prethodnu godinu zbog većih potreba za ostalim uslugama (pranje tepiha, izrada novog štambilja i sl.)</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w:t>
            </w:r>
          </w:p>
        </w:tc>
      </w:tr>
    </w:tbl>
    <w:p>
      <w:pPr>
        <w:spacing w:before="0" w:after="0"/>
      </w:pPr>
    </w:p>
    <w:p>
      <w:r>
        <w:t xml:space="preserve">Rashodi za premije osiguranja bilježe porast za 25,7% zbog povećanja cijena za premije osiguranja.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w:t>
            </w:r>
          </w:p>
        </w:tc>
      </w:tr>
    </w:tbl>
    <w:p>
      <w:pPr>
        <w:spacing w:before="0" w:after="0"/>
      </w:pPr>
    </w:p>
    <w:p>
      <w:r>
        <w:t xml:space="preserve">Članarine i norme bilježe porast za 21,7% zbog povećanja cijena članarina i normi.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w:t>
            </w:r>
          </w:p>
        </w:tc>
      </w:tr>
    </w:tbl>
    <w:p>
      <w:pPr>
        <w:spacing w:before="0" w:after="0"/>
      </w:pPr>
    </w:p>
    <w:p>
      <w:r>
        <w:t xml:space="preserve">Rashodi za pristojbe i naknade bilježe povećanje od 42,0% u odnosu na prethodnu godinu zbog povećanja naknade za nezapošljavanje osoba s invaliditetom od 01.siječnja 2025.godine.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235,1</w:t>
            </w:r>
          </w:p>
        </w:tc>
      </w:tr>
    </w:tbl>
    <w:p>
      <w:pPr>
        <w:spacing w:before="0" w:after="0"/>
      </w:pPr>
    </w:p>
    <w:p>
      <w:r>
        <w:t xml:space="preserve">Ostali nespomenuti rashodi poslovanja bilježe porast u iznosu od 135,10 % u odnosu na prethodnu godinu zbog kupnje psihodijagnostičkih sredstava u iznosu od 3.348,78 eur (Ministarstvo financira ovu nabavku).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1077,0</w:t>
            </w:r>
          </w:p>
        </w:tc>
      </w:tr>
    </w:tbl>
    <w:p>
      <w:pPr>
        <w:spacing w:before="0" w:after="0"/>
      </w:pPr>
    </w:p>
    <w:p>
      <w:r>
        <w:t xml:space="preserve">Rashodi za zatezne kamate bilježe povećanje iz razloga jer je u 2025.godini knjižen račun za kamate, a kojega nije bilo u istome izvještajnome razdoblju prethodne godine.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w:t>
            </w:r>
          </w:p>
        </w:tc>
      </w:tr>
    </w:tbl>
    <w:p>
      <w:pPr>
        <w:spacing w:before="0" w:after="0"/>
      </w:pPr>
    </w:p>
    <w:p>
      <w:r>
        <w:t xml:space="preserve">Ovi rashodi se odnose na međuopćinska natjecanja na kojima je naša škola sudjelovala. Rashodi veći u odnosu na prethodnu godinu radi odlaska na veći broj natjecanja u odnosu na prethodnu godinu.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w:t>
            </w:r>
          </w:p>
        </w:tc>
      </w:tr>
    </w:tbl>
    <w:p>
      <w:pPr>
        <w:spacing w:before="0" w:after="0"/>
      </w:pPr>
    </w:p>
    <w:p>
      <w:r>
        <w:t xml:space="preserve">Ovi rashodi se odnose na međuopćinska natjecanja na kojima je naša škola sudjelovala. Rashodi veći u odnosu na prethodnu godinu radi odlaska na veći broj natjecanja u odnosu na prethodnu godinu.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162.574,42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9046,0</w:t>
            </w:r>
          </w:p>
        </w:tc>
      </w:tr>
    </w:tbl>
    <w:p>
      <w:pPr>
        <w:spacing w:before="0" w:after="0"/>
      </w:pPr>
    </w:p>
    <w:p>
      <w:r>
        <w:t xml:space="preserve">Uvođenjem i stupanjem na snagu novog Pravilnika o proračunskom računovodstvu i računskom poslovanju, od 01.01.2025., plaća za prosinac 2025.proknjižena je na ovo izvještajno razdoblje s 31.12.2025.godine, što dosad prethodnih godina nije bio slučaj takvog knjiženja plaće za prosinac. Stoga se na ovome kontu pojavljuju značajno veći iznosi u odnosu na prethodnu godinu.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7.275,80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210,6</w:t>
            </w:r>
          </w:p>
        </w:tc>
      </w:tr>
    </w:tbl>
    <w:p>
      <w:pPr>
        <w:spacing w:before="0" w:after="0"/>
      </w:pPr>
    </w:p>
    <w:p>
      <w:r>
        <w:t xml:space="preserve">Rashodi za uređaje, strojeve i opremu za ostale namjene bilježe povećanje u iznosu od 110,6% u odnosu na prethodnu godinu radi kupnje stroja za čišćenje školsko sportske dvorane u iznosu od 6.160,71 EUR.</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9.190,99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183,8</w:t>
            </w:r>
          </w:p>
        </w:tc>
      </w:tr>
    </w:tbl>
    <w:p>
      <w:pPr>
        <w:spacing w:before="0" w:after="0"/>
      </w:pPr>
    </w:p>
    <w:p>
      <w:r>
        <w:t xml:space="preserve">Rashodi za dodatna ulaganja na građevinskim objektima ostvareni u iznosu od 9.190,99 EUR (priključenje PŠ Suha Katalena na vodoopskrbnu mrežu i kanalizaciju te obnova sanitarnog čvora u PŠ Prugovac).</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2054,3</w:t>
            </w:r>
          </w:p>
        </w:tc>
      </w:tr>
    </w:tbl>
    <w:p>
      <w:pPr>
        <w:spacing w:before="0" w:after="0"/>
      </w:pPr>
    </w:p>
    <w:p>
      <w:r>
        <w:t xml:space="preserve">U odnosu na prethodnu godinu znatno povećanje radi potraživanja za bolovanja koja se refundiraju na teret HZZO-a, a koji iznos potraživanja nije bio ovako znatan prethodne godine (pomoćnica u nastavi na bolovanju na teret HZZO-a, Bolovanja na teret njege djeteta).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162.574,42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9046,0</w:t>
            </w:r>
          </w:p>
        </w:tc>
      </w:tr>
    </w:tbl>
    <w:p>
      <w:pPr>
        <w:spacing w:before="0" w:after="0"/>
      </w:pPr>
    </w:p>
    <w:p>
      <w:r>
        <w:t xml:space="preserve">Uvođenjem i stupanjem na snagu novog Pravilnika o proračunskom računovodstvu i računskom poslovanju, od 01.01.2025., plaća za prosinac 2025.proknjižena je na ovo izvještajno razdoblje s 31.12.2025.godine, kao i potraživanje za prihod za ovu plaću, što dosad prethodnih godina nije bio slučaj takvog knjiženja plaće za prosinac. Stoga se na ovome kontu pojavljuju značajno veći iznosi u odnosu na prethodnu godinu.</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w:t>
            </w:r>
          </w:p>
        </w:tc>
      </w:tr>
    </w:tbl>
    <w:p>
      <w:pPr>
        <w:spacing w:before="0" w:after="0"/>
      </w:pPr>
    </w:p>
    <w:p>
      <w:r>
        <w:t xml:space="preserve">Ostvarena veća prodaja staroga papirau odnosu na prethodnu godinu, uslijed čega se pojavljuju i veća potraživanja za ove prihode, a koja nisu naplaćena do 31.12.2025., nego se prenose u sljedeću godinu.</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10.094,83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185.249,96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1835,1</w:t>
            </w:r>
          </w:p>
        </w:tc>
      </w:tr>
    </w:tbl>
    <w:p>
      <w:pPr>
        <w:spacing w:before="0" w:after="0"/>
      </w:pPr>
    </w:p>
    <w:p>
      <w:r>
        <w:t xml:space="preserve">Uvođenjem i stupanjem na snagu novog Pravilnika o proračunskom računovodstvu i računskom poslovanju, od 01.01.2025., plaća za prosinac 2025.proknjižena je na ovo izvještajno razdoblje s 31.12.2025.godine, kao i obveze vezane uz ovu plaću,  što dosad prethodnih godina nije bio slučaj takvog knjiženja plaće za prosinac. Stoga se na ovome kontu pojavljuju značajno veći iznosi u odnosu na prethodnu godinu.</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16.319,89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260,2</w:t>
            </w:r>
          </w:p>
        </w:tc>
      </w:tr>
    </w:tbl>
    <w:p>
      <w:pPr>
        <w:spacing w:before="0" w:after="0"/>
      </w:pPr>
    </w:p>
    <w:p>
      <w:r>
        <w:t xml:space="preserve">Povećanje obveza za materijalne rashode, a koji se odnose na redovne mjesečne rashode za prosinac/2025.godine.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-200.079,48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1973,5</w:t>
            </w:r>
          </w:p>
        </w:tc>
      </w:tr>
    </w:tbl>
    <w:p>
      <w:pPr>
        <w:spacing w:before="0" w:after="0"/>
      </w:pPr>
    </w:p>
    <w:p>
      <w:r>
        <w:t xml:space="preserve">Uvođenjem i stupanjem na snagu novog Pravilnika o proračunskom računovodstvu i računskom poslovanju, od 01.01.2025., plaća za prosinac 2025.proknjižena je na ovo izvještajno razdoblje s 31.12.2025.godine, stoga ovdje nastaje tzv.metodološki manjak jer je rashod za plaću proknjižen u 2025.godini, a prihod će biti proknjižen u 2026.godini, što dosad prethodnih godina nije bio slučaj takvog knjiženja plaće za prosinac. Stoga se na ovome kontu pojavljuju značajno veći iznosi u odnosu na prethodnu godinu. Također, rashodi za prehranu djece za prosinac 2025.godine su knjiženi na 2025.godinu, a prihodi su uplaćeni tek u 2026.godini, kao i sve mjesečne režije za prosinac/2025.godine (rashodi knjiženi u 2025.godini, a prihodi su raspoloživi u 2026.godini).</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162.574,42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9046,0</w:t>
            </w:r>
          </w:p>
        </w:tc>
      </w:tr>
    </w:tbl>
    <w:p>
      <w:pPr>
        <w:spacing w:before="0" w:after="0"/>
      </w:pPr>
    </w:p>
    <w:p>
      <w:r>
        <w:t xml:space="preserve">Uvođenjem i stupanjem na snagu novog Pravilnika o proračunskom računovodstvu i računskom poslovanju, od 01.01.2025., plaća za prosinac 2025.proknjižena je na ovo izvještajno razdoblje s 31.12.2025.godine, kao i potraživanje za prihod za ovu plaću, što dosad prethodnih godina nije bio slučaj takvog knjiženja plaće za prosinac. Stoga se na ovome kontu pojavljuju značajno veći iznosi u odnosu na prethodnu godinu.</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162.574,42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Uvođenjem i stupanjem na snagu novog Pravilnika o proračunskom računovodstvu i računskom poslovanju, od 01.01.2025., plaća za prosinac 2025.proknjižena je na ovo izvještajno razdoblje s 31.12.2025.godine, kao i potraživanje za prihode za ovu plaću, što dosad prethodnih godina nije bio slučaj takvog knjiženja plaće za prosinac. Stoga se na ovome kontu pojavljuju značajno veći iznosi u odnosu na prethodnu godinu.</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2054,3</w:t>
            </w:r>
          </w:p>
        </w:tc>
      </w:tr>
    </w:tbl>
    <w:p>
      <w:pPr>
        <w:spacing w:before="0" w:after="0"/>
      </w:pPr>
    </w:p>
    <w:p>
      <w:r>
        <w:t xml:space="preserve">U odnosu na prethodnu godinu znatno povećanje radi potraživanja za bolovanja koja se refundiraju na teret HZZO-a, a koji iznos potraživanja nije bio ovako znatan prethodne godine (pomoćnica u nastavi na bolovanju na teret HZZO-a, Bolovanja na teret njege djeteta).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10.094,83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185.249,96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1835,1</w:t>
            </w:r>
          </w:p>
        </w:tc>
      </w:tr>
    </w:tbl>
    <w:p>
      <w:pPr>
        <w:spacing w:before="0" w:after="0"/>
      </w:pPr>
    </w:p>
    <w:p>
      <w:r>
        <w:t xml:space="preserve">Uvođenjem i stupanjem na snagu novog Pravilnika o proračunskom računovodstvu i računskom poslovanju, od 01.01.2025., plaća za prosinac 2025.proknjižena je na ovo izvještajno razdoblje s 31.12.2025.godine, kao i obveze vezane uz ovu plaću,  što dosad prethodnih godina nije bio slučaj takvog knjiženja plaće za prosinac. Stoga se na ovome kontu pojavljuju značajno veći iznosi u odnosu na prethodnu godinu.</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175.579,60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193.035,08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w:t>
            </w:r>
          </w:p>
        </w:tc>
      </w:tr>
    </w:tbl>
    <w:p>
      <w:pPr>
        <w:spacing w:before="0" w:after="0"/>
      </w:pPr>
    </w:p>
    <w:p>
      <w:r>
        <w:t xml:space="preserve">Osnovna škola Kloštar Podravski obavlja djelatnost osnovnog obrazovanja te su u  funkcijskoj klasifikaciji sadržani rashodi poslovanja (razred 3) i rashodi za nabavu nefinancijske imovine (razred 4). Uz osnovno obrazovanje (polje 0912), OŠ Kloštar Podravski provodi i dodatne usluge u obrazovanju na kojoj se posebno izdvajaju rashodi vezani uz prehranu učenika te usluge namijenjene isključivo učenicima (polje 096). Sukladno tome, u obrazac su upisani ostvareni rashodi koji su veći u odnosu na prethodnu godinu radi povećanih rashoda za namirnice i većeg broja izleta.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113.954,84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stupac ''Iznos smanjenja'', šifra P018 Proizvedena dugotrajna imovina upisan je podatak o rashodovanju opreme, odnosno računala prema Odluci o rashodovanju opreme iz 2025.godine (prema provedenome popisu imovine u 2023.godini) u iznosu od 777,12 eura te je amortizacijom za 2025.godinu smanjena vrijednost sve imovine za 113.177,72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 01.01.2025. iznosi 10.192,19 eur.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201.185,10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Ukupne obveze na kraju izvještajnog razdoblja iznose 201.185,10 eura, a čine ih:</w:t>
      </w:r>
    </w:p>
    <w:p>
      <w:r>
        <w:t xml:space="preserve">a)      nedospjele obveze na poziciji V009 u iznosu 201.185,10 eura, a čine ih:</w:t>
      </w:r>
    </w:p>
    <w:p>
      <w:r>
        <w:t xml:space="preserve">-međusobne obveze subjekata općeg proračuna (bolovanja na teret HZZZO-a, obveze proračunskih korisnika za povrat u proračun) u iznosu 1.105,62 eura (pozicija V010) te obveze za povrat u proračun osnivača Koprivničko-križevačke županije u iznosu 15.537,11 eur,</w:t>
      </w:r>
    </w:p>
    <w:p>
      <w:r>
        <w:t xml:space="preserve">-23 obveze za rashode poslovanja u iznosu 185.249,96 eura (pozicija ND23)</w:t>
      </w:r>
    </w:p>
    <w:p>
      <w:r>
        <w:t xml:space="preserve">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 postoje dospjele obveze na kraju izvještajnog razdoblja.</w:t>
      </w:r>
    </w:p>
    <w:p/>
    <w:p>
      <w:pPr>
        <w:jc w:val="center"/>
        <w:pStyle w:val="Normal"/>
        <w:spacing w:line="240" w:lineRule="auto"/>
        <w:keepNext/>
      </w:pPr>
      <w:r>
        <w:rPr>
          <w:sz w:val="28"/>
          <w:rFonts w:ascii="Times New Roman" w:hAnsi="Times New Roman"/>
        </w:rPr>
        <w:t xml:space="preserve">Bilješka 44.</w:t>
      </w:r>
    </w:p>
    <w:p>
      <w:pPr>
        <w:jc w:val="both"/>
        <w:pStyle w:val="Normal"/>
        <w:spacing w:line="240" w:lineRule="auto"/>
      </w:pPr>
      <w:r>
        <w:rPr>
          <w:b/>
          <w:sz w:val="24"/>
          <w:rFonts w:ascii="Times New Roman" w:hAnsi="Times New Roman"/>
        </w:rPr>
        <w:t xml:space="preserve">EU izvještaj</w:t>
      </w:r>
    </w:p>
    <w:p>
      <w:r>
        <w:t xml:space="preserve">U EU izvještaj uneseni su podaci o prihodima i rashodima ostvarenima za projekt ''Školska shema'' i Prilika za sve 7''. Ukupni prihodi i rashodi za ''Školsku shemu'' za 2025.godinu iznose 5.351,32 eur - izvor financiranja 565. Dok za projekt ''Prilika za sve 7'' - prihodi za 2025.godinu iznose 83.998,91 eur, a rashodi 88.954,23 eur (manjak metodološki radi plaće pomoćnika u nastavi, a koja je kao rashod knjižena s 31.12.2025. godine, a prihod će biti raspoloživ u 2026.godini).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77add82a2064207" /></Relationships>
</file>